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4"/>
          <w:szCs w:val="24"/>
        </w:rPr>
      </w:pPr>
      <w:r>
        <w:rPr>
          <w:rFonts w:cs="Arial" w:ascii="Arial" w:hAnsi="Arial"/>
          <w:b/>
          <w:bCs/>
          <w:sz w:val="24"/>
          <w:szCs w:val="24"/>
        </w:rPr>
        <w:t>Lösung</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a)</w:t>
      </w:r>
    </w:p>
    <w:p>
      <w:pPr>
        <w:pStyle w:val="Normal"/>
        <w:numPr>
          <w:ilvl w:val="0"/>
          <w:numId w:val="2"/>
        </w:numPr>
        <w:rPr>
          <w:rFonts w:ascii="Arial" w:hAnsi="Arial" w:cs="Arial"/>
          <w:sz w:val="24"/>
          <w:szCs w:val="24"/>
        </w:rPr>
      </w:pPr>
      <w:r>
        <w:drawing>
          <wp:anchor behindDoc="0" distT="0" distB="0" distL="0" distR="0" simplePos="0" locked="0" layoutInCell="0" allowOverlap="1" relativeHeight="2">
            <wp:simplePos x="0" y="0"/>
            <wp:positionH relativeFrom="column">
              <wp:posOffset>4177030</wp:posOffset>
            </wp:positionH>
            <wp:positionV relativeFrom="paragraph">
              <wp:posOffset>3175</wp:posOffset>
            </wp:positionV>
            <wp:extent cx="1941830" cy="1465580"/>
            <wp:effectExtent l="0" t="0" r="0" b="0"/>
            <wp:wrapSquare wrapText="bothSides"/>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19" t="-25" r="-19" b="-25"/>
                    <a:stretch>
                      <a:fillRect/>
                    </a:stretch>
                  </pic:blipFill>
                  <pic:spPr bwMode="auto">
                    <a:xfrm>
                      <a:off x="0" y="0"/>
                      <a:ext cx="1941830" cy="1465580"/>
                    </a:xfrm>
                    <a:prstGeom prst="rect">
                      <a:avLst/>
                    </a:prstGeom>
                  </pic:spPr>
                </pic:pic>
              </a:graphicData>
            </a:graphic>
          </wp:anchor>
        </w:drawing>
      </w:r>
      <w:r>
        <w:rPr>
          <w:rFonts w:cs="Arial" w:ascii="Arial" w:hAnsi="Arial"/>
          <w:sz w:val="24"/>
          <w:szCs w:val="24"/>
        </w:rPr>
        <w:t>In einem evakuierten Glaskolben werden Elektronen von der Kathode K zur Anode A beschleunigt. Durch ein Loch in der Anode gelangen sie auf eine polykristalline Graphitschicht F. An den regellos liegenden Kristalliten der Graphitschicht erfahren die de-Broglie-Wellen der Elektronen eine "BRAGG-Reflexion". Auf dem Leuchtschirm bilden sich konzentrische Ringe.</w:t>
      </w:r>
    </w:p>
    <w:p>
      <w:pPr>
        <w:pStyle w:val="Normal"/>
        <w:rPr>
          <w:rFonts w:ascii="Arial" w:hAnsi="Arial" w:cs="Arial"/>
          <w:sz w:val="24"/>
          <w:szCs w:val="24"/>
        </w:rPr>
      </w:pPr>
      <w:r>
        <w:rPr>
          <w:rFonts w:cs="Arial" w:ascii="Arial" w:hAnsi="Arial"/>
          <w:sz w:val="24"/>
          <w:szCs w:val="24"/>
        </w:rPr>
        <w:tab/>
        <w:t xml:space="preserve">Gemessen werden für eine Beschleunigungsspannung </w:t>
        <w:tab/>
        <w:t>U bei gegebenem Graphit-Schirm-Abstand l die Radien r der Beugungsringe.</w:t>
      </w:r>
    </w:p>
    <w:p>
      <w:pPr>
        <w:pStyle w:val="Normal"/>
        <w:rPr>
          <w:rFonts w:ascii="Arial" w:hAnsi="Arial" w:cs="Arial"/>
          <w:sz w:val="24"/>
          <w:szCs w:val="24"/>
        </w:rPr>
      </w:pPr>
      <w:r>
        <w:rPr>
          <w:rFonts w:cs="Arial" w:ascii="Arial" w:hAnsi="Arial"/>
          <w:sz w:val="24"/>
          <w:szCs w:val="24"/>
        </w:rPr>
      </w:r>
    </w:p>
    <w:p>
      <w:pPr>
        <w:pStyle w:val="Normal"/>
        <w:numPr>
          <w:ilvl w:val="0"/>
          <w:numId w:val="3"/>
        </w:numPr>
        <w:rPr>
          <w:rFonts w:ascii="Arial" w:hAnsi="Arial" w:cs="Arial"/>
          <w:sz w:val="24"/>
          <w:szCs w:val="24"/>
        </w:rPr>
      </w:pPr>
      <w:r>
        <w:drawing>
          <wp:anchor behindDoc="0" distT="0" distB="0" distL="0" distR="0" simplePos="0" locked="0" layoutInCell="0" allowOverlap="1" relativeHeight="3">
            <wp:simplePos x="0" y="0"/>
            <wp:positionH relativeFrom="column">
              <wp:posOffset>3750310</wp:posOffset>
            </wp:positionH>
            <wp:positionV relativeFrom="paragraph">
              <wp:posOffset>635</wp:posOffset>
            </wp:positionV>
            <wp:extent cx="2368550" cy="1866900"/>
            <wp:effectExtent l="0" t="0" r="0" b="0"/>
            <wp:wrapSquare wrapText="bothSides"/>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rcRect l="-12" t="-14" r="-12" b="-14"/>
                    <a:stretch>
                      <a:fillRect/>
                    </a:stretch>
                  </pic:blipFill>
                  <pic:spPr bwMode="auto">
                    <a:xfrm>
                      <a:off x="0" y="0"/>
                      <a:ext cx="2368550" cy="1866900"/>
                    </a:xfrm>
                    <a:prstGeom prst="rect">
                      <a:avLst/>
                    </a:prstGeom>
                  </pic:spPr>
                </pic:pic>
              </a:graphicData>
            </a:graphic>
          </wp:anchor>
        </w:drawing>
      </w:r>
      <w:r>
        <w:rPr>
          <w:rFonts w:cs="Arial" w:ascii="Arial" w:hAnsi="Arial"/>
          <w:sz w:val="24"/>
          <w:szCs w:val="24"/>
        </w:rPr>
        <w:t>In der Graphitschicht liegen die Kristallite regellos. Es gibt für alle Raumrichtungen solche, die unter einem Glanzwinkel getroffen werden, so dass Braggreflexion eintritt. Die "reflektierten" Materiewellen laufen auf einem Kegelmantel zum Beobachtungsschirm.</w:t>
      </w:r>
    </w:p>
    <w:p>
      <w:pPr>
        <w:pStyle w:val="Normal"/>
        <w:rPr>
          <w:rFonts w:ascii="Arial" w:hAnsi="Arial" w:cs="Arial"/>
          <w:sz w:val="24"/>
          <w:szCs w:val="24"/>
        </w:rPr>
      </w:pPr>
      <w:r>
        <w:rPr>
          <w:rFonts w:cs="Arial" w:ascii="Arial" w:hAnsi="Arial"/>
          <w:sz w:val="24"/>
          <w:szCs w:val="24"/>
        </w:rPr>
        <w:tab/>
        <w:t xml:space="preserve">Die Elektronen lokalisieren sich also auf </w:t>
        <w:tab/>
        <w:t xml:space="preserve">konzentrischen Ringen. Diese Ringe werden als </w:t>
        <w:tab/>
        <w:t xml:space="preserve">Interferenzmaxima gedeutet. Sie entstehen </w:t>
        <w:tab/>
        <w:t xml:space="preserve">durch </w:t>
        <w:tab/>
        <w:t xml:space="preserve">Überlagerung von de BROGLIE-Wellen </w:t>
        <w:tab/>
        <w:t xml:space="preserve">der Elektronen, die von der Beugung an </w:t>
        <w:tab/>
        <w:t>Atomen verschiedener Netzebenen in den Kristalliten der Folie herrühren.</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b)   Aus 0,5mv</w:t>
      </w:r>
      <w:r>
        <w:rPr>
          <w:rFonts w:cs="Arial" w:ascii="Arial" w:hAnsi="Arial"/>
          <w:sz w:val="24"/>
          <w:szCs w:val="24"/>
          <w:vertAlign w:val="superscript"/>
        </w:rPr>
        <w:t>2</w:t>
      </w:r>
      <w:r>
        <w:rPr>
          <w:rFonts w:cs="Arial" w:ascii="Arial" w:hAnsi="Arial"/>
          <w:position w:val="0"/>
          <w:sz w:val="24"/>
          <w:sz w:val="24"/>
          <w:szCs w:val="24"/>
          <w:vertAlign w:val="baseline"/>
        </w:rPr>
        <w:t xml:space="preserve"> = eU folgt v = 3,75*10</w:t>
      </w:r>
      <w:r>
        <w:rPr>
          <w:rFonts w:cs="Arial" w:ascii="Arial" w:hAnsi="Arial"/>
          <w:sz w:val="24"/>
          <w:szCs w:val="24"/>
          <w:vertAlign w:val="superscript"/>
        </w:rPr>
        <w:t>7</w:t>
      </w:r>
      <w:r>
        <w:rPr>
          <w:rFonts w:cs="Arial" w:ascii="Arial" w:hAnsi="Arial"/>
          <w:position w:val="0"/>
          <w:sz w:val="24"/>
          <w:sz w:val="24"/>
          <w:szCs w:val="24"/>
          <w:vertAlign w:val="baseline"/>
        </w:rPr>
        <w:t xml:space="preserve"> m/s und daraus </w:t>
      </w:r>
      <w:r>
        <w:rPr>
          <w:rFonts w:eastAsia="Times New Roman" w:cs="Arial" w:ascii="Arial" w:hAnsi="Arial"/>
          <w:position w:val="0"/>
          <w:sz w:val="24"/>
          <w:sz w:val="24"/>
          <w:szCs w:val="24"/>
          <w:vertAlign w:val="baseline"/>
        </w:rPr>
        <w:t>λ</w:t>
      </w:r>
      <w:r>
        <w:rPr>
          <w:rFonts w:eastAsia="Times New Roman" w:cs="Arial" w:ascii="Arial" w:hAnsi="Arial"/>
          <w:position w:val="0"/>
          <w:sz w:val="24"/>
          <w:sz w:val="24"/>
          <w:szCs w:val="24"/>
          <w:vertAlign w:val="baseline"/>
        </w:rPr>
        <w:t xml:space="preserve"> = h/p = 19 pm</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drawing>
          <wp:anchor behindDoc="0" distT="0" distB="0" distL="0" distR="0" simplePos="0" locked="0" layoutInCell="0" allowOverlap="1" relativeHeight="4">
            <wp:simplePos x="0" y="0"/>
            <wp:positionH relativeFrom="column">
              <wp:posOffset>3397885</wp:posOffset>
            </wp:positionH>
            <wp:positionV relativeFrom="paragraph">
              <wp:posOffset>635</wp:posOffset>
            </wp:positionV>
            <wp:extent cx="2720975" cy="1572895"/>
            <wp:effectExtent l="0" t="0" r="0" b="0"/>
            <wp:wrapSquare wrapText="bothSides"/>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rcRect l="-10" t="-17" r="-10" b="-17"/>
                    <a:stretch>
                      <a:fillRect/>
                    </a:stretch>
                  </pic:blipFill>
                  <pic:spPr bwMode="auto">
                    <a:xfrm>
                      <a:off x="0" y="0"/>
                      <a:ext cx="2720975" cy="1572895"/>
                    </a:xfrm>
                    <a:prstGeom prst="rect">
                      <a:avLst/>
                    </a:prstGeom>
                  </pic:spPr>
                </pic:pic>
              </a:graphicData>
            </a:graphic>
          </wp:anchor>
        </w:drawing>
      </w:r>
      <w:r>
        <w:rPr>
          <w:rFonts w:cs="Arial" w:ascii="Arial" w:hAnsi="Arial"/>
          <w:sz w:val="24"/>
          <w:szCs w:val="24"/>
        </w:rPr>
        <w:t>c)  Nach der BRAGG-Beziehung (1. Ordnung) gilt</w:t>
      </w:r>
      <w:bookmarkStart w:id="0" w:name="MathJax-Span-66"/>
      <w:bookmarkStart w:id="1" w:name="MathJax-Span-61"/>
      <w:bookmarkEnd w:id="0"/>
      <w:bookmarkEnd w:id="1"/>
      <w:r>
        <w:rPr>
          <w:rFonts w:cs="Arial" w:ascii="Arial" w:hAnsi="Arial"/>
          <w:sz w:val="24"/>
          <w:szCs w:val="24"/>
        </w:rPr>
        <w:t xml:space="preserve">     </w:t>
        <w:tab/>
        <w:tab/>
        <w:tab/>
        <w:t>2⋅d⋅sin⁡(ϑ)=1⋅λ</w:t>
      </w:r>
    </w:p>
    <w:p>
      <w:pPr>
        <w:pStyle w:val="Normal"/>
        <w:ind w:start="270" w:end="0" w:hanging="255"/>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Aus der Geometrie folgt in etwa (je nach     Wölbung des Bildschirms)</w:t>
      </w:r>
      <w:bookmarkStart w:id="2" w:name="MathJax-Element-8-Frame"/>
      <w:bookmarkStart w:id="3" w:name="MathJax-Span-75"/>
      <w:bookmarkStart w:id="4" w:name="MathJax-Span-76"/>
      <w:bookmarkStart w:id="5" w:name="MathJax-Span-77"/>
      <w:bookmarkEnd w:id="2"/>
      <w:bookmarkEnd w:id="3"/>
      <w:bookmarkEnd w:id="4"/>
      <w:bookmarkEnd w:id="5"/>
      <w:r>
        <w:rPr>
          <w:rFonts w:cs="Arial" w:ascii="Arial" w:hAnsi="Arial"/>
          <w:sz w:val="24"/>
          <w:szCs w:val="24"/>
        </w:rPr>
        <w:t xml:space="preserve"> sin</w:t>
      </w:r>
      <w:bookmarkStart w:id="6" w:name="MathJax-Span-78"/>
      <w:bookmarkStart w:id="7" w:name="MathJax-Span-79"/>
      <w:bookmarkStart w:id="8" w:name="MathJax-Span-80"/>
      <w:bookmarkEnd w:id="6"/>
      <w:bookmarkEnd w:id="7"/>
      <w:bookmarkEnd w:id="8"/>
      <w:r>
        <w:rPr>
          <w:rFonts w:cs="Arial" w:ascii="Arial" w:hAnsi="Arial"/>
          <w:sz w:val="24"/>
          <w:szCs w:val="24"/>
        </w:rPr>
        <w:t>(</w:t>
      </w:r>
      <w:bookmarkStart w:id="9" w:name="MathJax-Span-81"/>
      <w:bookmarkStart w:id="10" w:name="MathJax-Span-82"/>
      <w:bookmarkStart w:id="11" w:name="MathJax-Span-83"/>
      <w:bookmarkEnd w:id="9"/>
      <w:bookmarkEnd w:id="10"/>
      <w:bookmarkEnd w:id="11"/>
      <w:r>
        <w:rPr>
          <w:rFonts w:cs="Arial" w:ascii="Arial" w:hAnsi="Arial"/>
          <w:sz w:val="24"/>
          <w:szCs w:val="24"/>
        </w:rPr>
        <w:t>2</w:t>
      </w:r>
      <w:bookmarkStart w:id="12" w:name="MathJax-Span-84"/>
      <w:bookmarkEnd w:id="12"/>
      <w:r>
        <w:rPr>
          <w:rFonts w:cs="Arial" w:ascii="Arial" w:hAnsi="Arial"/>
          <w:sz w:val="24"/>
          <w:szCs w:val="24"/>
        </w:rPr>
        <w:t>⋅</w:t>
      </w:r>
      <w:bookmarkStart w:id="13" w:name="MathJax-Span-85"/>
      <w:bookmarkEnd w:id="13"/>
      <w:r>
        <w:rPr>
          <w:rFonts w:cs="Arial" w:ascii="Arial" w:hAnsi="Arial"/>
          <w:i/>
          <w:sz w:val="24"/>
          <w:szCs w:val="24"/>
        </w:rPr>
        <w:t>ϑ</w:t>
      </w:r>
      <w:bookmarkStart w:id="14" w:name="MathJax-Span-86"/>
      <w:bookmarkEnd w:id="14"/>
      <w:r>
        <w:rPr>
          <w:rFonts w:cs="Arial" w:ascii="Arial" w:hAnsi="Arial"/>
          <w:sz w:val="24"/>
          <w:szCs w:val="24"/>
        </w:rPr>
        <w:t>)</w:t>
      </w:r>
      <w:bookmarkStart w:id="15" w:name="MathJax-Span-87"/>
      <w:bookmarkEnd w:id="15"/>
      <w:r>
        <w:rPr>
          <w:rFonts w:cs="Arial" w:ascii="Arial" w:hAnsi="Arial"/>
          <w:sz w:val="24"/>
          <w:szCs w:val="24"/>
        </w:rPr>
        <w:t>=r/L</w:t>
      </w:r>
    </w:p>
    <w:p>
      <w:pPr>
        <w:pStyle w:val="Normal"/>
        <w:rPr>
          <w:rFonts w:ascii="Arial" w:hAnsi="Arial" w:cs="Arial"/>
          <w:sz w:val="24"/>
          <w:szCs w:val="24"/>
        </w:rPr>
      </w:pPr>
      <w:r>
        <w:rPr>
          <w:rFonts w:eastAsia="Arial" w:cs="Arial" w:ascii="Arial" w:hAnsi="Arial"/>
          <w:sz w:val="24"/>
          <w:szCs w:val="24"/>
        </w:rPr>
        <w:t xml:space="preserve">    </w:t>
      </w:r>
      <w:r>
        <w:rPr>
          <w:rFonts w:cs="Arial" w:ascii="Arial" w:hAnsi="Arial"/>
          <w:sz w:val="24"/>
          <w:szCs w:val="24"/>
        </w:rPr>
        <w:t>Unter Beachtung, dass ϑ klein ist und damit</w:t>
      </w:r>
    </w:p>
    <w:p>
      <w:pPr>
        <w:pStyle w:val="Normal"/>
        <w:rPr>
          <w:rFonts w:ascii="Arial" w:hAnsi="Arial" w:cs="Arial"/>
          <w:sz w:val="24"/>
          <w:szCs w:val="24"/>
        </w:rPr>
      </w:pPr>
      <w:bookmarkStart w:id="16" w:name="MathJax-Span-120"/>
      <w:bookmarkStart w:id="17" w:name="MathJax-Span-118"/>
      <w:bookmarkStart w:id="18" w:name="MathJax-Span-109"/>
      <w:bookmarkStart w:id="19" w:name="MathJax-Span-107"/>
      <w:bookmarkStart w:id="20" w:name="MathJax-Span-102"/>
      <w:bookmarkEnd w:id="16"/>
      <w:bookmarkEnd w:id="17"/>
      <w:bookmarkEnd w:id="18"/>
      <w:bookmarkEnd w:id="19"/>
      <w:bookmarkEnd w:id="20"/>
      <w:r>
        <w:rPr>
          <w:rFonts w:eastAsia="Arial" w:cs="Arial" w:ascii="Arial" w:hAnsi="Arial"/>
          <w:sz w:val="24"/>
          <w:szCs w:val="24"/>
        </w:rPr>
        <w:t xml:space="preserve">    </w:t>
      </w:r>
      <w:r>
        <w:rPr>
          <w:rFonts w:cs="Arial" w:ascii="Arial" w:hAnsi="Arial"/>
          <w:sz w:val="24"/>
          <w:szCs w:val="24"/>
        </w:rPr>
        <w:t>2⋅sin(ϑ)≈sin(2⋅ϑ)≈tan(2⋅ϑ) ergibt sich</w:t>
      </w:r>
      <w:bookmarkStart w:id="21" w:name="MathJax-Span-139"/>
      <w:bookmarkStart w:id="22" w:name="MathJax-Span-134"/>
      <w:bookmarkEnd w:id="21"/>
      <w:bookmarkEnd w:id="22"/>
    </w:p>
    <w:p>
      <w:pPr>
        <w:pStyle w:val="Normal"/>
        <w:rPr/>
      </w:pPr>
      <w:bookmarkStart w:id="23" w:name="MathJax-Span-157"/>
      <w:bookmarkStart w:id="24" w:name="MathJax-Span-146"/>
      <w:bookmarkStart w:id="25" w:name="MathJax-Span-147"/>
      <w:bookmarkStart w:id="26" w:name="MathJax-Element-13-Frame"/>
      <w:bookmarkStart w:id="27" w:name="MathJax-Span-140"/>
      <w:bookmarkStart w:id="28" w:name="MathJax-Span-141"/>
      <w:bookmarkStart w:id="29" w:name="MathJax-Span-142"/>
      <w:bookmarkStart w:id="30" w:name="MathJax-Span-143"/>
      <w:bookmarkEnd w:id="23"/>
      <w:bookmarkEnd w:id="24"/>
      <w:bookmarkEnd w:id="25"/>
      <w:bookmarkEnd w:id="26"/>
      <w:bookmarkEnd w:id="27"/>
      <w:bookmarkEnd w:id="28"/>
      <w:bookmarkEnd w:id="29"/>
      <w:bookmarkEnd w:id="30"/>
      <w:r>
        <w:rPr>
          <w:rFonts w:eastAsia="Arial" w:cs="Arial" w:ascii="Arial" w:hAnsi="Arial"/>
          <w:sz w:val="24"/>
          <w:szCs w:val="24"/>
        </w:rPr>
        <w:t xml:space="preserve">    </w:t>
      </w:r>
      <w:r>
        <w:rPr>
          <w:rFonts w:cs="Arial" w:ascii="Arial" w:hAnsi="Arial"/>
          <w:sz w:val="24"/>
          <w:szCs w:val="24"/>
        </w:rPr>
        <w:t>λ/d=r/L ⇔ λ=r⋅d/L</w:t>
      </w:r>
    </w:p>
    <w:p>
      <w:pPr>
        <w:pStyle w:val="Normal"/>
        <w:rPr/>
      </w:pPr>
      <w:r>
        <w:rPr/>
      </w:r>
    </w:p>
    <w:p>
      <w:pPr>
        <w:pStyle w:val="Normal"/>
        <w:rPr/>
      </w:pPr>
      <w:r>
        <w:rPr/>
      </w:r>
    </w:p>
    <w:p>
      <w:pPr>
        <w:pStyle w:val="Normal"/>
        <w:ind w:start="-15" w:end="0" w:hanging="0"/>
        <w:rPr>
          <w:rFonts w:ascii="Arial" w:hAnsi="Arial" w:cs="Arial"/>
          <w:sz w:val="24"/>
          <w:szCs w:val="24"/>
        </w:rPr>
      </w:pPr>
      <w:r>
        <w:rPr>
          <w:rFonts w:cs="Arial" w:ascii="Arial" w:hAnsi="Arial"/>
          <w:sz w:val="24"/>
          <w:szCs w:val="24"/>
        </w:rPr>
        <w:t>d) Das Schirmbild kann durch das Anlegen eines äußeren Magnetfeldes beeinflusst werden. Diese wäre bei elektromagnetischen Wellen nicht möglich.</w:t>
      </w:r>
    </w:p>
    <w:p>
      <w:pPr>
        <w:pStyle w:val="Normal"/>
        <w:ind w:start="-15" w:end="0" w:hanging="0"/>
        <w:rPr/>
      </w:pPr>
      <w:r>
        <w:rPr/>
      </w:r>
    </w:p>
    <w:p>
      <w:pPr>
        <w:pStyle w:val="Normal"/>
        <w:ind w:start="-15" w:end="0" w:hanging="0"/>
        <w:rPr>
          <w:rFonts w:ascii="Arial" w:hAnsi="Arial" w:cs="Arial"/>
          <w:sz w:val="24"/>
          <w:szCs w:val="24"/>
        </w:rPr>
      </w:pPr>
      <w:r>
        <w:rPr>
          <w:rFonts w:cs="Arial" w:ascii="Arial" w:hAnsi="Arial"/>
          <w:sz w:val="24"/>
          <w:szCs w:val="24"/>
        </w:rPr>
        <w:t>Nach Teilaufgabe c</w:t>
      </w:r>
      <w:r>
        <w:rPr>
          <w:rStyle w:val="Starkbetont"/>
          <w:rFonts w:cs="Arial" w:ascii="Arial" w:hAnsi="Arial"/>
          <w:sz w:val="24"/>
          <w:szCs w:val="24"/>
        </w:rPr>
        <w:t>)</w:t>
      </w:r>
      <w:r>
        <w:rPr>
          <w:rFonts w:cs="Arial" w:ascii="Arial" w:hAnsi="Arial"/>
          <w:sz w:val="24"/>
          <w:szCs w:val="24"/>
        </w:rPr>
        <w:t xml:space="preserve"> berechnet sich die Materiewellenlänge </w:t>
      </w:r>
      <w:bookmarkStart w:id="31" w:name="MathJax-Span-236"/>
      <w:bookmarkStart w:id="32" w:name="MathJax-Span-229"/>
      <w:bookmarkStart w:id="33" w:name="MathJax-Span-230"/>
      <w:bookmarkStart w:id="34" w:name="MathJax-Span-231"/>
      <w:bookmarkStart w:id="35" w:name="MathJax-Span-232"/>
      <w:bookmarkStart w:id="36" w:name="MathJax-Span-218"/>
      <w:bookmarkStart w:id="37" w:name="MathJax-Span-209"/>
      <w:bookmarkStart w:id="38" w:name="MathJax-Span-210"/>
      <w:bookmarkStart w:id="39" w:name="MathJax-Span-211"/>
      <w:bookmarkStart w:id="40" w:name="MathJax-Span-212"/>
      <w:bookmarkStart w:id="41" w:name="MathJax-Span-213"/>
      <w:bookmarkStart w:id="42" w:name="MathJax-Span-214"/>
      <w:bookmarkStart w:id="43" w:name="MathJax-Span-205"/>
      <w:bookmarkStart w:id="44" w:name="MathJax-Span-206"/>
      <w:bookmarkStart w:id="45" w:name="MathJax-Span-207"/>
      <w:bookmarkStart w:id="46" w:name="MathJax-Span-200"/>
      <w:bookmarkStart w:id="47" w:name="MathJax-Span-201"/>
      <w:bookmarkStart w:id="48" w:name="MathJax-Span-202"/>
      <w:bookmarkStart w:id="49" w:name="MathJax-Span-203"/>
      <w:bookmarkStart w:id="50" w:name="MathJax-Span-204"/>
      <w:bookmarkStart w:id="51" w:name="MathJax-Span-199"/>
      <w:bookmarkStart w:id="52" w:name="MathJax-Span-190"/>
      <w:bookmarkStart w:id="53" w:name="MathJax-Span-191"/>
      <w:bookmarkStart w:id="54" w:name="MathJax-Span-192"/>
      <w:bookmarkStart w:id="55" w:name="MathJax-Span-193"/>
      <w:bookmarkStart w:id="56" w:name="MathJax-Span-194"/>
      <w:bookmarkStart w:id="57" w:name="MathJax-Span-195"/>
      <w:bookmarkStart w:id="58" w:name="MathJax-Span-188"/>
      <w:bookmarkStart w:id="59" w:name="MathJax-Span-179"/>
      <w:bookmarkStart w:id="60" w:name="MathJax-Span-170"/>
      <w:bookmarkStart w:id="61" w:name="MathJax-Span-171"/>
      <w:bookmarkStart w:id="62" w:name="MathJax-Span-172"/>
      <w:bookmarkStart w:id="63" w:name="MathJax-Span-173"/>
      <w:bookmarkStart w:id="64" w:name="MathJax-Span-174"/>
      <w:bookmarkStart w:id="65" w:name="MathJax-Span-17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cs="Arial" w:ascii="Arial" w:hAnsi="Arial"/>
          <w:sz w:val="24"/>
          <w:szCs w:val="24"/>
        </w:rPr>
        <w:tab/>
        <w:tab/>
      </w:r>
    </w:p>
    <w:p>
      <w:pPr>
        <w:pStyle w:val="Normal"/>
        <w:rPr>
          <w:rFonts w:ascii="Arial" w:hAnsi="Arial" w:cs="Arial"/>
          <w:sz w:val="24"/>
          <w:szCs w:val="24"/>
        </w:rPr>
      </w:pPr>
      <w:r>
        <w:rPr>
          <w:rFonts w:cs="Arial" w:ascii="Arial" w:hAnsi="Arial"/>
          <w:sz w:val="24"/>
          <w:szCs w:val="24"/>
        </w:rPr>
        <w:tab/>
        <w:t>λ=9,0⋅10</w:t>
      </w:r>
      <w:r>
        <w:rPr>
          <w:rFonts w:cs="Arial" w:ascii="Arial" w:hAnsi="Arial"/>
          <w:sz w:val="24"/>
          <w:szCs w:val="24"/>
          <w:vertAlign w:val="superscript"/>
        </w:rPr>
        <w:t>−3</w:t>
      </w:r>
      <w:r>
        <w:rPr>
          <w:rFonts w:cs="Arial" w:ascii="Arial" w:hAnsi="Arial"/>
          <w:sz w:val="24"/>
          <w:szCs w:val="24"/>
        </w:rPr>
        <w:t>m ⋅ 2,13⋅10</w:t>
      </w:r>
      <w:r>
        <w:rPr>
          <w:rFonts w:cs="Arial" w:ascii="Arial" w:hAnsi="Arial"/>
          <w:sz w:val="24"/>
          <w:szCs w:val="24"/>
          <w:vertAlign w:val="superscript"/>
        </w:rPr>
        <w:t>−10</w:t>
      </w:r>
      <w:r>
        <w:rPr>
          <w:rFonts w:cs="Arial" w:ascii="Arial" w:hAnsi="Arial"/>
          <w:sz w:val="24"/>
          <w:szCs w:val="24"/>
        </w:rPr>
        <w:t>m / 18⋅10</w:t>
      </w:r>
      <w:r>
        <w:rPr>
          <w:rFonts w:cs="Arial" w:ascii="Arial" w:hAnsi="Arial"/>
          <w:sz w:val="24"/>
          <w:szCs w:val="24"/>
          <w:vertAlign w:val="superscript"/>
        </w:rPr>
        <w:t>−2</w:t>
      </w:r>
      <w:r>
        <w:rPr>
          <w:rFonts w:cs="Arial" w:ascii="Arial" w:hAnsi="Arial"/>
          <w:sz w:val="24"/>
          <w:szCs w:val="24"/>
        </w:rPr>
        <w:t>m=1,1⋅10</w:t>
      </w:r>
      <w:r>
        <w:rPr>
          <w:rFonts w:cs="Arial" w:ascii="Arial" w:hAnsi="Arial"/>
          <w:sz w:val="24"/>
          <w:szCs w:val="24"/>
          <w:vertAlign w:val="superscript"/>
        </w:rPr>
        <w:t>−11</w:t>
      </w:r>
      <w:r>
        <w:rPr>
          <w:rFonts w:cs="Arial" w:ascii="Arial" w:hAnsi="Arial"/>
          <w:sz w:val="24"/>
          <w:szCs w:val="24"/>
        </w:rPr>
        <w:t>m</w:t>
      </w:r>
    </w:p>
    <w:p>
      <w:pPr>
        <w:pStyle w:val="Normal"/>
        <w:rPr>
          <w:rFonts w:ascii="Arial" w:hAnsi="Arial" w:cs="Arial"/>
          <w:sz w:val="24"/>
          <w:szCs w:val="24"/>
        </w:rPr>
      </w:pPr>
      <w:r>
        <w:rPr>
          <w:rFonts w:cs="Arial" w:ascii="Arial" w:hAnsi="Arial"/>
          <w:sz w:val="24"/>
          <w:szCs w:val="24"/>
        </w:rPr>
        <w:t>Nach de BROGLIE berechnet sich damit der Impuls zu</w:t>
      </w:r>
    </w:p>
    <w:p>
      <w:pPr>
        <w:pStyle w:val="Normal"/>
        <w:rPr>
          <w:rFonts w:ascii="Arial" w:hAnsi="Arial" w:cs="Arial"/>
          <w:sz w:val="24"/>
          <w:szCs w:val="24"/>
        </w:rPr>
      </w:pPr>
      <w:bookmarkStart w:id="66" w:name="MathJax-Span-315"/>
      <w:bookmarkStart w:id="67" w:name="MathJax-Span-316"/>
      <w:bookmarkStart w:id="68" w:name="MathJax-Span-317"/>
      <w:bookmarkStart w:id="69" w:name="MathJax-Span-318"/>
      <w:bookmarkStart w:id="70" w:name="MathJax-Span-319"/>
      <w:bookmarkStart w:id="71" w:name="MathJax-Span-314"/>
      <w:bookmarkStart w:id="72" w:name="MathJax-Span-307"/>
      <w:bookmarkStart w:id="73" w:name="MathJax-Span-308"/>
      <w:bookmarkStart w:id="74" w:name="MathJax-Span-309"/>
      <w:bookmarkStart w:id="75" w:name="MathJax-Span-310"/>
      <w:bookmarkStart w:id="76" w:name="MathJax-Span-296"/>
      <w:bookmarkStart w:id="77" w:name="MathJax-Span-287"/>
      <w:bookmarkStart w:id="78" w:name="MathJax-Span-288"/>
      <w:bookmarkStart w:id="79" w:name="MathJax-Span-289"/>
      <w:bookmarkStart w:id="80" w:name="MathJax-Span-290"/>
      <w:bookmarkStart w:id="81" w:name="MathJax-Span-291"/>
      <w:bookmarkStart w:id="82" w:name="MathJax-Span-292"/>
      <w:bookmarkStart w:id="83" w:name="MathJax-Span-280"/>
      <w:bookmarkStart w:id="84" w:name="MathJax-Span-275"/>
      <w:bookmarkStart w:id="85" w:name="MathJax-Span-276"/>
      <w:bookmarkStart w:id="86" w:name="MathJax-Span-277"/>
      <w:bookmarkStart w:id="87" w:name="MathJax-Span-278"/>
      <w:bookmarkStart w:id="88" w:name="MathJax-Span-279"/>
      <w:bookmarkStart w:id="89" w:name="MathJax-Span-274"/>
      <w:bookmarkStart w:id="90" w:name="MathJax-Span-265"/>
      <w:bookmarkStart w:id="91" w:name="MathJax-Span-266"/>
      <w:bookmarkStart w:id="92" w:name="MathJax-Span-267"/>
      <w:bookmarkStart w:id="93" w:name="MathJax-Span-268"/>
      <w:bookmarkStart w:id="94" w:name="MathJax-Span-269"/>
      <w:bookmarkStart w:id="95" w:name="MathJax-Span-270"/>
      <w:bookmarkStart w:id="96" w:name="MathJax-Span-263"/>
      <w:bookmarkStart w:id="97" w:name="MathJax-Span-252"/>
      <w:bookmarkStart w:id="98" w:name="MathJax-Span-253"/>
      <w:bookmarkStart w:id="99" w:name="MathJax-Span-246"/>
      <w:bookmarkStart w:id="100" w:name="MathJax-Span-24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cs="Arial" w:ascii="Arial" w:hAnsi="Arial"/>
          <w:sz w:val="24"/>
          <w:szCs w:val="24"/>
        </w:rPr>
        <w:t>λ = h/p ⇔ p = h/λ ⇒ p = 6,63⋅10</w:t>
      </w:r>
      <w:r>
        <w:rPr>
          <w:rFonts w:cs="Arial" w:ascii="Arial" w:hAnsi="Arial"/>
          <w:sz w:val="24"/>
          <w:szCs w:val="24"/>
          <w:vertAlign w:val="superscript"/>
        </w:rPr>
        <w:t>−34</w:t>
      </w:r>
      <w:r>
        <w:rPr>
          <w:rFonts w:cs="Arial" w:ascii="Arial" w:hAnsi="Arial"/>
          <w:sz w:val="24"/>
          <w:szCs w:val="24"/>
        </w:rPr>
        <w:t>Js / 1,1⋅10</w:t>
      </w:r>
      <w:r>
        <w:rPr>
          <w:rFonts w:cs="Arial" w:ascii="Arial" w:hAnsi="Arial"/>
          <w:sz w:val="24"/>
          <w:szCs w:val="24"/>
          <w:vertAlign w:val="superscript"/>
        </w:rPr>
        <w:t>−11</w:t>
      </w:r>
      <w:r>
        <w:rPr>
          <w:rFonts w:cs="Arial" w:ascii="Arial" w:hAnsi="Arial"/>
          <w:sz w:val="24"/>
          <w:szCs w:val="24"/>
        </w:rPr>
        <w:t>m = 6,0⋅10</w:t>
      </w:r>
      <w:r>
        <w:rPr>
          <w:rFonts w:cs="Arial" w:ascii="Arial" w:hAnsi="Arial"/>
          <w:sz w:val="24"/>
          <w:szCs w:val="24"/>
          <w:vertAlign w:val="superscript"/>
        </w:rPr>
        <w:t>−23</w:t>
      </w:r>
      <w:r>
        <w:rPr>
          <w:rFonts w:cs="Arial" w:ascii="Arial" w:hAnsi="Arial"/>
          <w:sz w:val="24"/>
          <w:szCs w:val="24"/>
        </w:rPr>
        <w:t>Ns</w:t>
      </w:r>
    </w:p>
    <w:p>
      <w:pPr>
        <w:pStyle w:val="Normal"/>
        <w:rPr>
          <w:rFonts w:ascii="Arial" w:hAnsi="Arial" w:cs="Arial"/>
          <w:sz w:val="24"/>
          <w:szCs w:val="24"/>
        </w:rPr>
      </w:pPr>
      <w:r>
        <w:rPr>
          <w:rFonts w:cs="Arial" w:ascii="Arial" w:hAnsi="Arial"/>
          <w:sz w:val="24"/>
          <w:szCs w:val="24"/>
        </w:rPr>
        <w:t>Die Gesamtenergie E der Elektronen berechnet sich nach der relativistischen Energie-Impuls-Beziehung zu</w:t>
      </w:r>
    </w:p>
    <w:p>
      <w:pPr>
        <w:pStyle w:val="Normal"/>
        <w:rPr>
          <w:rFonts w:ascii="Arial" w:hAnsi="Arial" w:cs="Arial"/>
          <w:sz w:val="24"/>
          <w:szCs w:val="24"/>
        </w:rPr>
      </w:pPr>
      <w:bookmarkStart w:id="101" w:name="MathJax-Span-373"/>
      <w:bookmarkStart w:id="102" w:name="MathJax-Span-368"/>
      <w:bookmarkStart w:id="103" w:name="MathJax-Span-369"/>
      <w:bookmarkStart w:id="104" w:name="MathJax-Span-370"/>
      <w:bookmarkStart w:id="105" w:name="MathJax-Span-371"/>
      <w:bookmarkStart w:id="106" w:name="MathJax-Span-372"/>
      <w:bookmarkStart w:id="107" w:name="MathJax-Span-362"/>
      <w:bookmarkStart w:id="108" w:name="MathJax-Span-363"/>
      <w:bookmarkStart w:id="109" w:name="MathJax-Span-364"/>
      <w:bookmarkStart w:id="110" w:name="MathJax-Span-365"/>
      <w:bookmarkStart w:id="111" w:name="MathJax-Span-354"/>
      <w:bookmarkStart w:id="112" w:name="MathJax-Span-355"/>
      <w:bookmarkStart w:id="113" w:name="MathJax-Span-356"/>
      <w:bookmarkStart w:id="114" w:name="MathJax-Span-357"/>
      <w:bookmarkStart w:id="115" w:name="MathJax-Span-358"/>
      <w:bookmarkStart w:id="116" w:name="MathJax-Span-359"/>
      <w:bookmarkStart w:id="117" w:name="MathJax-Span-346"/>
      <w:bookmarkStart w:id="118" w:name="MathJax-Span-347"/>
      <w:bookmarkStart w:id="119" w:name="MathJax-Span-348"/>
      <w:bookmarkStart w:id="120" w:name="MathJax-Span-349"/>
      <w:bookmarkStart w:id="121" w:name="MathJax-Span-340"/>
      <w:bookmarkStart w:id="122" w:name="MathJax-Span-341"/>
      <w:bookmarkStart w:id="123" w:name="MathJax-Span-342"/>
      <w:bookmarkStart w:id="124" w:name="MathJax-Span-343"/>
      <w:bookmarkStart w:id="125" w:name="MathJax-Span-337"/>
      <w:bookmarkStart w:id="126" w:name="MathJax-Span-332"/>
      <w:bookmarkStart w:id="127" w:name="MathJax-Span-333"/>
      <w:bookmarkStart w:id="128" w:name="MathJax-Span-334"/>
      <w:bookmarkStart w:id="129" w:name="MathJax-Span-335"/>
      <w:bookmarkStart w:id="130" w:name="MathJax-Span-336"/>
      <w:bookmarkStart w:id="131" w:name="MathJax-Element-17-Frame"/>
      <w:bookmarkStart w:id="132" w:name="MathJax-Span-324"/>
      <w:bookmarkStart w:id="133" w:name="MathJax-Span-325"/>
      <w:bookmarkStart w:id="134" w:name="MathJax-Span-326"/>
      <w:bookmarkStart w:id="135" w:name="MathJax-Span-327"/>
      <w:bookmarkStart w:id="136" w:name="MathJax-Span-328"/>
      <w:bookmarkStart w:id="137" w:name="MathJax-Span-32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cs="Arial" w:ascii="Arial" w:hAnsi="Arial"/>
          <w:sz w:val="24"/>
          <w:szCs w:val="24"/>
        </w:rPr>
        <w:t>E</w:t>
      </w:r>
      <w:r>
        <w:rPr>
          <w:rFonts w:cs="Arial" w:ascii="Arial" w:hAnsi="Arial"/>
          <w:sz w:val="24"/>
          <w:szCs w:val="24"/>
          <w:vertAlign w:val="superscript"/>
        </w:rPr>
        <w:t>2</w:t>
      </w:r>
      <w:r>
        <w:rPr>
          <w:rFonts w:cs="Arial" w:ascii="Arial" w:hAnsi="Arial"/>
          <w:sz w:val="24"/>
          <w:szCs w:val="24"/>
        </w:rPr>
        <w:t>=E</w:t>
      </w:r>
      <w:r>
        <w:rPr>
          <w:rFonts w:cs="Arial" w:ascii="Arial" w:hAnsi="Arial"/>
          <w:sz w:val="24"/>
          <w:szCs w:val="24"/>
          <w:vertAlign w:val="subscript"/>
        </w:rPr>
        <w:t>0</w:t>
      </w:r>
      <w:r>
        <w:rPr>
          <w:rFonts w:cs="Arial" w:ascii="Arial" w:hAnsi="Arial"/>
          <w:sz w:val="24"/>
          <w:szCs w:val="24"/>
          <w:vertAlign w:val="superscript"/>
        </w:rPr>
        <w:t>2</w:t>
      </w:r>
      <w:r>
        <w:rPr>
          <w:rFonts w:cs="Arial" w:ascii="Arial" w:hAnsi="Arial"/>
          <w:sz w:val="24"/>
          <w:szCs w:val="24"/>
        </w:rPr>
        <w:t>+p</w:t>
      </w:r>
      <w:r>
        <w:rPr>
          <w:rFonts w:cs="Arial" w:ascii="Arial" w:hAnsi="Arial"/>
          <w:sz w:val="24"/>
          <w:szCs w:val="24"/>
          <w:vertAlign w:val="superscript"/>
        </w:rPr>
        <w:t>2</w:t>
      </w:r>
      <w:r>
        <w:rPr>
          <w:rFonts w:cs="Arial" w:ascii="Arial" w:hAnsi="Arial"/>
          <w:sz w:val="24"/>
          <w:szCs w:val="24"/>
        </w:rPr>
        <w:t>⋅c</w:t>
      </w:r>
      <w:r>
        <w:rPr>
          <w:rFonts w:cs="Arial" w:ascii="Arial" w:hAnsi="Arial"/>
          <w:sz w:val="24"/>
          <w:szCs w:val="24"/>
          <w:vertAlign w:val="superscript"/>
        </w:rPr>
        <w:t>2</w:t>
      </w:r>
      <w:r>
        <w:rPr>
          <w:rFonts w:cs="Arial" w:ascii="Arial" w:hAnsi="Arial"/>
          <w:sz w:val="24"/>
          <w:szCs w:val="24"/>
        </w:rPr>
        <w:t>⇒E=(p</w:t>
      </w:r>
      <w:r>
        <w:rPr>
          <w:rFonts w:cs="Arial" w:ascii="Arial" w:hAnsi="Arial"/>
          <w:sz w:val="24"/>
          <w:szCs w:val="24"/>
          <w:vertAlign w:val="superscript"/>
        </w:rPr>
        <w:t>2</w:t>
      </w:r>
      <w:r>
        <w:rPr>
          <w:rFonts w:cs="Arial" w:ascii="Arial" w:hAnsi="Arial"/>
          <w:sz w:val="24"/>
          <w:szCs w:val="24"/>
        </w:rPr>
        <w:t>⋅c</w:t>
      </w:r>
      <w:r>
        <w:rPr>
          <w:rFonts w:cs="Arial" w:ascii="Arial" w:hAnsi="Arial"/>
          <w:sz w:val="24"/>
          <w:szCs w:val="24"/>
          <w:vertAlign w:val="superscript"/>
        </w:rPr>
        <w:t>2</w:t>
      </w:r>
      <w:r>
        <w:rPr>
          <w:rFonts w:cs="Arial" w:ascii="Arial" w:hAnsi="Arial"/>
          <w:sz w:val="24"/>
          <w:szCs w:val="24"/>
        </w:rPr>
        <w:t>+E</w:t>
      </w:r>
      <w:r>
        <w:rPr>
          <w:rFonts w:cs="Arial" w:ascii="Arial" w:hAnsi="Arial"/>
          <w:sz w:val="24"/>
          <w:szCs w:val="24"/>
          <w:vertAlign w:val="subscript"/>
        </w:rPr>
        <w:t>0</w:t>
      </w:r>
      <w:r>
        <w:rPr>
          <w:rFonts w:cs="Arial" w:ascii="Arial" w:hAnsi="Arial"/>
          <w:sz w:val="24"/>
          <w:szCs w:val="24"/>
          <w:vertAlign w:val="superscript"/>
        </w:rPr>
        <w:t>2</w:t>
      </w:r>
      <w:r>
        <w:rPr>
          <w:rFonts w:cs="Arial" w:ascii="Arial" w:hAnsi="Arial"/>
          <w:sz w:val="24"/>
          <w:szCs w:val="24"/>
        </w:rPr>
        <w:t>)</w:t>
      </w:r>
      <w:r>
        <w:rPr>
          <w:rFonts w:cs="Arial" w:ascii="Arial" w:hAnsi="Arial"/>
          <w:sz w:val="24"/>
          <w:szCs w:val="24"/>
          <w:vertAlign w:val="superscript"/>
        </w:rPr>
        <w:t>0,5</w:t>
      </w:r>
    </w:p>
    <w:p>
      <w:pPr>
        <w:pStyle w:val="Normal"/>
        <w:rPr>
          <w:rFonts w:ascii="Arial" w:hAnsi="Arial" w:cs="Arial"/>
          <w:sz w:val="24"/>
          <w:szCs w:val="24"/>
        </w:rPr>
      </w:pPr>
      <w:r>
        <w:rPr>
          <w:rFonts w:cs="Arial" w:ascii="Arial" w:hAnsi="Arial"/>
          <w:sz w:val="24"/>
          <w:szCs w:val="24"/>
        </w:rPr>
        <w:t>Einsetzen der gegebenen Werte liefert</w:t>
      </w:r>
    </w:p>
    <w:p>
      <w:pPr>
        <w:pStyle w:val="Normal"/>
        <w:rPr>
          <w:rFonts w:ascii="Arial" w:hAnsi="Arial" w:cs="Arial"/>
          <w:sz w:val="24"/>
          <w:szCs w:val="24"/>
        </w:rPr>
      </w:pPr>
      <w:bookmarkStart w:id="138" w:name="MathJax-Span-506"/>
      <w:bookmarkStart w:id="139" w:name="MathJax-Span-499"/>
      <w:bookmarkStart w:id="140" w:name="MathJax-Span-500"/>
      <w:bookmarkStart w:id="141" w:name="MathJax-Span-501"/>
      <w:bookmarkStart w:id="142" w:name="MathJax-Span-502"/>
      <w:bookmarkStart w:id="143" w:name="MathJax-Span-480"/>
      <w:bookmarkStart w:id="144" w:name="MathJax-Span-481"/>
      <w:bookmarkStart w:id="145" w:name="MathJax-Span-482"/>
      <w:bookmarkStart w:id="146" w:name="MathJax-Span-483"/>
      <w:bookmarkStart w:id="147" w:name="MathJax-Span-484"/>
      <w:bookmarkStart w:id="148" w:name="MathJax-Span-479"/>
      <w:bookmarkStart w:id="149" w:name="MathJax-Span-470"/>
      <w:bookmarkStart w:id="150" w:name="MathJax-Span-471"/>
      <w:bookmarkStart w:id="151" w:name="MathJax-Span-472"/>
      <w:bookmarkStart w:id="152" w:name="MathJax-Span-473"/>
      <w:bookmarkStart w:id="153" w:name="MathJax-Span-474"/>
      <w:bookmarkStart w:id="154" w:name="MathJax-Span-475"/>
      <w:bookmarkStart w:id="155" w:name="MathJax-Span-468"/>
      <w:bookmarkStart w:id="156" w:name="MathJax-Span-458"/>
      <w:bookmarkStart w:id="157" w:name="MathJax-Span-459"/>
      <w:bookmarkStart w:id="158" w:name="MathJax-Span-460"/>
      <w:bookmarkStart w:id="159" w:name="MathJax-Span-461"/>
      <w:bookmarkStart w:id="160" w:name="MathJax-Span-462"/>
      <w:bookmarkStart w:id="161" w:name="MathJax-Span-463"/>
      <w:bookmarkStart w:id="162" w:name="MathJax-Span-454"/>
      <w:bookmarkStart w:id="163" w:name="MathJax-Span-455"/>
      <w:bookmarkStart w:id="164" w:name="MathJax-Span-456"/>
      <w:bookmarkStart w:id="165" w:name="MathJax-Span-446"/>
      <w:bookmarkStart w:id="166" w:name="MathJax-Span-433"/>
      <w:bookmarkStart w:id="167" w:name="MathJax-Span-434"/>
      <w:bookmarkStart w:id="168" w:name="MathJax-Span-435"/>
      <w:bookmarkStart w:id="169" w:name="MathJax-Span-436"/>
      <w:bookmarkStart w:id="170" w:name="MathJax-Span-437"/>
      <w:bookmarkStart w:id="171" w:name="MathJax-Span-438"/>
      <w:bookmarkStart w:id="172" w:name="MathJax-Span-432"/>
      <w:bookmarkStart w:id="173" w:name="MathJax-Span-426"/>
      <w:bookmarkStart w:id="174" w:name="MathJax-Span-427"/>
      <w:bookmarkStart w:id="175" w:name="MathJax-Span-428"/>
      <w:bookmarkStart w:id="176" w:name="MathJax-Span-429"/>
      <w:bookmarkStart w:id="177" w:name="MathJax-Span-430"/>
      <w:bookmarkStart w:id="178" w:name="MathJax-Span-431"/>
      <w:bookmarkStart w:id="179" w:name="MathJax-Span-424"/>
      <w:bookmarkStart w:id="180" w:name="MathJax-Span-412"/>
      <w:bookmarkStart w:id="181" w:name="MathJax-Span-404"/>
      <w:bookmarkStart w:id="182" w:name="MathJax-Span-405"/>
      <w:bookmarkStart w:id="183" w:name="MathJax-Span-406"/>
      <w:bookmarkStart w:id="184" w:name="MathJax-Span-407"/>
      <w:bookmarkStart w:id="185" w:name="MathJax-Span-408"/>
      <w:bookmarkStart w:id="186" w:name="MathJax-Span-403"/>
      <w:bookmarkStart w:id="187" w:name="MathJax-Span-394"/>
      <w:bookmarkStart w:id="188" w:name="MathJax-Span-395"/>
      <w:bookmarkStart w:id="189" w:name="MathJax-Span-396"/>
      <w:bookmarkStart w:id="190" w:name="MathJax-Span-397"/>
      <w:bookmarkStart w:id="191" w:name="MathJax-Span-398"/>
      <w:bookmarkStart w:id="192" w:name="MathJax-Span-399"/>
      <w:bookmarkStart w:id="193" w:name="MathJax-Span-378"/>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cs="Arial" w:ascii="Arial" w:hAnsi="Arial"/>
          <w:sz w:val="24"/>
          <w:szCs w:val="24"/>
        </w:rPr>
        <w:t>E=(6,0⋅10</w:t>
      </w:r>
      <w:r>
        <w:rPr>
          <w:rFonts w:cs="Arial" w:ascii="Arial" w:hAnsi="Arial"/>
          <w:sz w:val="24"/>
          <w:szCs w:val="24"/>
          <w:vertAlign w:val="superscript"/>
        </w:rPr>
        <w:t>−23</w:t>
      </w:r>
      <w:r>
        <w:rPr>
          <w:rFonts w:cs="Arial" w:ascii="Arial" w:hAnsi="Arial"/>
          <w:sz w:val="24"/>
          <w:szCs w:val="24"/>
        </w:rPr>
        <w:t>Ns)2⋅(3,00⋅10</w:t>
      </w:r>
      <w:r>
        <w:rPr>
          <w:rFonts w:cs="Arial" w:ascii="Arial" w:hAnsi="Arial"/>
          <w:sz w:val="24"/>
          <w:szCs w:val="24"/>
          <w:vertAlign w:val="superscript"/>
        </w:rPr>
        <w:t>8</w:t>
      </w:r>
      <w:r>
        <w:rPr>
          <w:rFonts w:cs="Arial" w:ascii="Arial" w:hAnsi="Arial"/>
          <w:sz w:val="24"/>
          <w:szCs w:val="24"/>
        </w:rPr>
        <w:t>ms)2+(511⋅10</w:t>
      </w:r>
      <w:r>
        <w:rPr>
          <w:rFonts w:cs="Arial" w:ascii="Arial" w:hAnsi="Arial"/>
          <w:sz w:val="24"/>
          <w:szCs w:val="24"/>
          <w:vertAlign w:val="superscript"/>
        </w:rPr>
        <w:t>3</w:t>
      </w:r>
      <w:r>
        <w:rPr>
          <w:rFonts w:cs="Arial" w:ascii="Arial" w:hAnsi="Arial"/>
          <w:sz w:val="24"/>
          <w:szCs w:val="24"/>
        </w:rPr>
        <w:t>⋅1,60⋅10</w:t>
      </w:r>
      <w:r>
        <w:rPr>
          <w:rFonts w:cs="Arial" w:ascii="Arial" w:hAnsi="Arial"/>
          <w:sz w:val="24"/>
          <w:szCs w:val="24"/>
          <w:vertAlign w:val="superscript"/>
        </w:rPr>
        <w:t>−19</w:t>
      </w:r>
      <w:r>
        <w:rPr>
          <w:rFonts w:cs="Arial" w:ascii="Arial" w:hAnsi="Arial"/>
          <w:sz w:val="24"/>
          <w:szCs w:val="24"/>
        </w:rPr>
        <w:t>As⋅V)2=8,4⋅10</w:t>
      </w:r>
      <w:r>
        <w:rPr>
          <w:rFonts w:cs="Arial" w:ascii="Arial" w:hAnsi="Arial"/>
          <w:sz w:val="24"/>
          <w:szCs w:val="24"/>
          <w:vertAlign w:val="superscript"/>
        </w:rPr>
        <w:t>−14</w:t>
      </w:r>
      <w:r>
        <w:rPr>
          <w:rFonts w:cs="Arial" w:ascii="Arial" w:hAnsi="Arial"/>
          <w:sz w:val="24"/>
          <w:szCs w:val="24"/>
        </w:rPr>
        <w:t>J</w:t>
      </w:r>
    </w:p>
    <w:p>
      <w:pPr>
        <w:pStyle w:val="Normal"/>
        <w:rPr>
          <w:rFonts w:ascii="Arial" w:hAnsi="Arial" w:cs="Arial"/>
          <w:sz w:val="24"/>
          <w:szCs w:val="24"/>
        </w:rPr>
      </w:pPr>
      <w:r>
        <w:rPr>
          <w:rFonts w:cs="Arial" w:ascii="Arial" w:hAnsi="Arial"/>
          <w:sz w:val="24"/>
          <w:szCs w:val="24"/>
        </w:rPr>
        <w:t>Damit ergibt sich für die kinetische Energie der Elektronen</w:t>
      </w:r>
    </w:p>
    <w:p>
      <w:pPr>
        <w:pStyle w:val="Normal"/>
        <w:rPr>
          <w:rFonts w:ascii="Arial" w:hAnsi="Arial" w:cs="Arial"/>
          <w:sz w:val="24"/>
          <w:szCs w:val="24"/>
        </w:rPr>
      </w:pPr>
      <w:bookmarkStart w:id="194" w:name="MathJax-Span-625"/>
      <w:bookmarkStart w:id="195" w:name="MathJax-Span-620"/>
      <w:bookmarkStart w:id="196" w:name="MathJax-Span-621"/>
      <w:bookmarkStart w:id="197" w:name="MathJax-Span-622"/>
      <w:bookmarkStart w:id="198" w:name="MathJax-Span-623"/>
      <w:bookmarkStart w:id="199" w:name="MathJax-Span-624"/>
      <w:bookmarkStart w:id="200" w:name="MathJax-Span-619"/>
      <w:bookmarkStart w:id="201" w:name="MathJax-Span-612"/>
      <w:bookmarkStart w:id="202" w:name="MathJax-Span-605"/>
      <w:bookmarkStart w:id="203" w:name="MathJax-Span-606"/>
      <w:bookmarkStart w:id="204" w:name="MathJax-Span-607"/>
      <w:bookmarkStart w:id="205" w:name="MathJax-Span-608"/>
      <w:bookmarkStart w:id="206" w:name="MathJax-Span-588"/>
      <w:bookmarkStart w:id="207" w:name="MathJax-Span-589"/>
      <w:bookmarkStart w:id="208" w:name="MathJax-Span-590"/>
      <w:bookmarkStart w:id="209" w:name="MathJax-Span-591"/>
      <w:bookmarkStart w:id="210" w:name="MathJax-Span-592"/>
      <w:bookmarkStart w:id="211" w:name="MathJax-Span-587"/>
      <w:bookmarkStart w:id="212" w:name="MathJax-Span-580"/>
      <w:bookmarkStart w:id="213" w:name="MathJax-Span-581"/>
      <w:bookmarkStart w:id="214" w:name="MathJax-Span-582"/>
      <w:bookmarkStart w:id="215" w:name="MathJax-Span-583"/>
      <w:bookmarkStart w:id="216" w:name="MathJax-Span-578"/>
      <w:bookmarkStart w:id="217" w:name="MathJax-Span-570"/>
      <w:bookmarkStart w:id="218" w:name="MathJax-Span-571"/>
      <w:bookmarkStart w:id="219" w:name="MathJax-Span-572"/>
      <w:bookmarkStart w:id="220" w:name="MathJax-Span-573"/>
      <w:bookmarkStart w:id="221" w:name="MathJax-Span-568"/>
      <w:bookmarkStart w:id="222" w:name="MathJax-Span-561"/>
      <w:bookmarkStart w:id="223" w:name="MathJax-Span-554"/>
      <w:bookmarkStart w:id="224" w:name="MathJax-Span-555"/>
      <w:bookmarkStart w:id="225" w:name="MathJax-Span-556"/>
      <w:bookmarkStart w:id="226" w:name="MathJax-Span-557"/>
      <w:bookmarkStart w:id="227" w:name="MathJax-Span-547"/>
      <w:bookmarkStart w:id="228" w:name="MathJax-Span-540"/>
      <w:bookmarkStart w:id="229" w:name="MathJax-Span-541"/>
      <w:bookmarkStart w:id="230" w:name="MathJax-Span-542"/>
      <w:bookmarkStart w:id="231" w:name="MathJax-Span-543"/>
      <w:bookmarkStart w:id="232" w:name="MathJax-Span-544"/>
      <w:bookmarkStart w:id="233" w:name="MathJax-Span-545"/>
      <w:bookmarkStart w:id="234" w:name="MathJax-Span-546"/>
      <w:bookmarkStart w:id="235" w:name="MathJax-Span-536"/>
      <w:bookmarkStart w:id="236" w:name="MathJax-Span-537"/>
      <w:bookmarkStart w:id="237" w:name="MathJax-Span-538"/>
      <w:bookmarkStart w:id="238" w:name="MathJax-Span-539"/>
      <w:bookmarkStart w:id="239" w:name="MathJax-Span-530"/>
      <w:bookmarkStart w:id="240" w:name="MathJax-Span-531"/>
      <w:bookmarkStart w:id="241" w:name="MathJax-Span-532"/>
      <w:bookmarkStart w:id="242" w:name="MathJax-Span-533"/>
      <w:bookmarkStart w:id="243" w:name="MathJax-Span-525"/>
      <w:bookmarkStart w:id="244" w:name="MathJax-Span-518"/>
      <w:bookmarkStart w:id="245" w:name="MathJax-Span-519"/>
      <w:bookmarkStart w:id="246" w:name="MathJax-Span-520"/>
      <w:bookmarkStart w:id="247" w:name="MathJax-Span-521"/>
      <w:bookmarkStart w:id="248" w:name="MathJax-Span-522"/>
      <w:bookmarkStart w:id="249" w:name="MathJax-Span-523"/>
      <w:bookmarkStart w:id="250" w:name="MathJax-Span-524"/>
      <w:bookmarkStart w:id="251" w:name="MathJax-Element-19-Frame"/>
      <w:bookmarkStart w:id="252" w:name="MathJax-Span-512"/>
      <w:bookmarkStart w:id="253" w:name="MathJax-Span-513"/>
      <w:bookmarkStart w:id="254" w:name="MathJax-Span-514"/>
      <w:bookmarkStart w:id="255" w:name="MathJax-Span-515"/>
      <w:bookmarkStart w:id="256" w:name="MathJax-Span-516"/>
      <w:bookmarkStart w:id="257" w:name="MathJax-Span-51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cs="Arial" w:ascii="Arial" w:hAnsi="Arial"/>
          <w:sz w:val="24"/>
          <w:szCs w:val="24"/>
        </w:rPr>
        <w:t>E</w:t>
      </w:r>
      <w:r>
        <w:rPr>
          <w:rFonts w:cs="Arial" w:ascii="Arial" w:hAnsi="Arial"/>
          <w:sz w:val="24"/>
          <w:szCs w:val="24"/>
          <w:vertAlign w:val="subscript"/>
        </w:rPr>
        <w:t xml:space="preserve">kin </w:t>
      </w:r>
      <w:r>
        <w:rPr>
          <w:rFonts w:cs="Arial" w:ascii="Arial" w:hAnsi="Arial"/>
          <w:sz w:val="24"/>
          <w:szCs w:val="24"/>
        </w:rPr>
        <w:t>= E−E</w:t>
      </w:r>
      <w:r>
        <w:rPr>
          <w:rFonts w:cs="Arial" w:ascii="Arial" w:hAnsi="Arial"/>
          <w:sz w:val="24"/>
          <w:szCs w:val="24"/>
          <w:vertAlign w:val="subscript"/>
        </w:rPr>
        <w:t xml:space="preserve">0 </w:t>
      </w:r>
      <w:r>
        <w:rPr>
          <w:rFonts w:cs="Arial" w:ascii="Arial" w:hAnsi="Arial"/>
          <w:sz w:val="24"/>
          <w:szCs w:val="24"/>
        </w:rPr>
        <w:t>⇒ E</w:t>
      </w:r>
      <w:r>
        <w:rPr>
          <w:rFonts w:cs="Arial" w:ascii="Arial" w:hAnsi="Arial"/>
          <w:sz w:val="24"/>
          <w:szCs w:val="24"/>
          <w:vertAlign w:val="subscript"/>
        </w:rPr>
        <w:t xml:space="preserve">kin </w:t>
      </w:r>
      <w:r>
        <w:rPr>
          <w:rFonts w:cs="Arial" w:ascii="Arial" w:hAnsi="Arial"/>
          <w:sz w:val="24"/>
          <w:szCs w:val="24"/>
        </w:rPr>
        <w:t>= 8,4⋅10</w:t>
      </w:r>
      <w:r>
        <w:rPr>
          <w:rFonts w:cs="Arial" w:ascii="Arial" w:hAnsi="Arial"/>
          <w:sz w:val="24"/>
          <w:szCs w:val="24"/>
          <w:vertAlign w:val="superscript"/>
        </w:rPr>
        <w:t>−14</w:t>
      </w:r>
      <w:r>
        <w:rPr>
          <w:rFonts w:cs="Arial" w:ascii="Arial" w:hAnsi="Arial"/>
          <w:sz w:val="24"/>
          <w:szCs w:val="24"/>
        </w:rPr>
        <w:t>J−511⋅10</w:t>
      </w:r>
      <w:r>
        <w:rPr>
          <w:rFonts w:cs="Arial" w:ascii="Arial" w:hAnsi="Arial"/>
          <w:sz w:val="24"/>
          <w:szCs w:val="24"/>
          <w:vertAlign w:val="superscript"/>
        </w:rPr>
        <w:t>3</w:t>
      </w:r>
      <w:r>
        <w:rPr>
          <w:rFonts w:cs="Arial" w:ascii="Arial" w:hAnsi="Arial"/>
          <w:sz w:val="24"/>
          <w:szCs w:val="24"/>
        </w:rPr>
        <w:t>⋅1,60⋅10</w:t>
      </w:r>
      <w:r>
        <w:rPr>
          <w:rFonts w:cs="Arial" w:ascii="Arial" w:hAnsi="Arial"/>
          <w:sz w:val="24"/>
          <w:szCs w:val="24"/>
          <w:vertAlign w:val="superscript"/>
        </w:rPr>
        <w:t>−19</w:t>
      </w:r>
      <w:r>
        <w:rPr>
          <w:rFonts w:cs="Arial" w:ascii="Arial" w:hAnsi="Arial"/>
          <w:sz w:val="24"/>
          <w:szCs w:val="24"/>
        </w:rPr>
        <w:t>As⋅V=1,9⋅10</w:t>
      </w:r>
      <w:r>
        <w:rPr>
          <w:rFonts w:cs="Arial" w:ascii="Arial" w:hAnsi="Arial"/>
          <w:sz w:val="24"/>
          <w:szCs w:val="24"/>
          <w:vertAlign w:val="superscript"/>
        </w:rPr>
        <w:t>−15</w:t>
      </w:r>
      <w:r>
        <w:rPr>
          <w:rFonts w:cs="Arial" w:ascii="Arial" w:hAnsi="Arial"/>
          <w:sz w:val="24"/>
          <w:szCs w:val="24"/>
        </w:rPr>
        <w:t>J=12keV</w:t>
      </w:r>
    </w:p>
    <w:p>
      <w:pPr>
        <w:pStyle w:val="Normal"/>
        <w:rPr>
          <w:rFonts w:ascii="Arial" w:hAnsi="Arial" w:cs="Arial"/>
          <w:sz w:val="24"/>
          <w:szCs w:val="24"/>
        </w:rPr>
      </w:pPr>
      <w:r>
        <w:rPr>
          <w:rFonts w:cs="Arial" w:ascii="Arial" w:hAnsi="Arial"/>
          <w:sz w:val="24"/>
          <w:szCs w:val="24"/>
        </w:rPr>
        <w:t xml:space="preserve">Um Elektronen mit der kinetischen Energie </w:t>
      </w:r>
      <w:bookmarkStart w:id="258" w:name="MathJax-Span-635"/>
      <w:bookmarkStart w:id="259" w:name="MathJax-Span-630"/>
      <w:bookmarkStart w:id="260" w:name="MathJax-Span-631"/>
      <w:bookmarkStart w:id="261" w:name="MathJax-Span-632"/>
      <w:bookmarkStart w:id="262" w:name="MathJax-Span-633"/>
      <w:bookmarkStart w:id="263" w:name="MathJax-Span-634"/>
      <w:bookmarkStart w:id="264" w:name="MathJax-Element-20-Frame"/>
      <w:bookmarkStart w:id="265" w:name="MathJax-Span-627"/>
      <w:bookmarkStart w:id="266" w:name="MathJax-Span-628"/>
      <w:bookmarkStart w:id="267" w:name="MathJax-Span-629"/>
      <w:bookmarkEnd w:id="258"/>
      <w:bookmarkEnd w:id="259"/>
      <w:bookmarkEnd w:id="260"/>
      <w:bookmarkEnd w:id="261"/>
      <w:bookmarkEnd w:id="262"/>
      <w:bookmarkEnd w:id="263"/>
      <w:bookmarkEnd w:id="264"/>
      <w:bookmarkEnd w:id="265"/>
      <w:bookmarkEnd w:id="266"/>
      <w:bookmarkEnd w:id="267"/>
      <w:r>
        <w:rPr>
          <w:rFonts w:cs="Arial" w:ascii="Arial" w:hAnsi="Arial"/>
          <w:sz w:val="24"/>
          <w:szCs w:val="24"/>
        </w:rPr>
        <w:t xml:space="preserve">12keV zu erhalten, muss die Beschleunigungsspannung etwa </w:t>
      </w:r>
      <w:bookmarkStart w:id="268" w:name="MathJax-Span-640"/>
      <w:bookmarkStart w:id="269" w:name="MathJax-Span-641"/>
      <w:bookmarkStart w:id="270" w:name="MathJax-Span-642"/>
      <w:bookmarkStart w:id="271" w:name="MathJax-Span-643"/>
      <w:bookmarkStart w:id="272" w:name="MathJax-Span-644"/>
      <w:bookmarkStart w:id="273" w:name="MathJax-Element-21-Frame"/>
      <w:bookmarkStart w:id="274" w:name="MathJax-Span-637"/>
      <w:bookmarkStart w:id="275" w:name="MathJax-Span-638"/>
      <w:bookmarkStart w:id="276" w:name="MathJax-Span-639"/>
      <w:bookmarkEnd w:id="268"/>
      <w:bookmarkEnd w:id="269"/>
      <w:bookmarkEnd w:id="270"/>
      <w:bookmarkEnd w:id="271"/>
      <w:bookmarkEnd w:id="272"/>
      <w:bookmarkEnd w:id="273"/>
      <w:bookmarkEnd w:id="274"/>
      <w:bookmarkEnd w:id="275"/>
      <w:bookmarkEnd w:id="276"/>
      <w:r>
        <w:rPr>
          <w:rFonts w:cs="Arial" w:ascii="Arial" w:hAnsi="Arial"/>
          <w:sz w:val="24"/>
          <w:szCs w:val="24"/>
        </w:rPr>
        <w:t>12kV sein.</w:t>
      </w:r>
    </w:p>
    <w:p>
      <w:pPr>
        <w:pStyle w:val="Normal"/>
        <w:rPr>
          <w:rFonts w:ascii="Arial" w:hAnsi="Arial" w:cs="Arial"/>
          <w:sz w:val="24"/>
          <w:szCs w:val="24"/>
        </w:rPr>
      </w:pPr>
      <w:r>
        <w:rPr>
          <w:rFonts w:cs="Arial" w:ascii="Arial" w:hAnsi="Arial"/>
          <w:sz w:val="24"/>
          <w:szCs w:val="24"/>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ymbol">
    <w:charset w:val="02"/>
    <w:family w:val="auto"/>
    <w:pitch w:val="default"/>
  </w:font>
  <w:font w:name="OpenSymbol">
    <w:altName w:val="Arial Unicode MS"/>
    <w:charset w:val="80"/>
    <w:family w:val="auto"/>
    <w:pitch w:val="default"/>
  </w:font>
  <w:font w:name="Arial">
    <w:charset w:val="80"/>
    <w:family w:val="swiss"/>
    <w:pitch w:val="variable"/>
  </w:font>
  <w:font w:name="Arial">
    <w:charset w:val="8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lvl>
    <w:lvl w:ilvl="1">
      <w:start w:val="1"/>
      <w:pStyle w:val="Berschrift2"/>
      <w:numFmt w:val="none"/>
      <w:suff w:val="nothing"/>
      <w:lvlText w:val=""/>
      <w:lvlJc w:val="start"/>
      <w:pPr>
        <w:tabs>
          <w:tab w:val="num" w:pos="0"/>
        </w:tabs>
        <w:ind w:start="576" w:hanging="576"/>
      </w:pPr>
    </w:lvl>
    <w:lvl w:ilvl="2">
      <w:start w:val="1"/>
      <w:numFmt w:val="none"/>
      <w:suff w:val="nothing"/>
      <w:lvlText w:val=""/>
      <w:lvlJc w:val="start"/>
      <w:pPr>
        <w:tabs>
          <w:tab w:val="num" w:pos="0"/>
        </w:tabs>
        <w:ind w:start="720" w:hanging="720"/>
      </w:pPr>
    </w:lvl>
    <w:lvl w:ilvl="3">
      <w:start w:val="1"/>
      <w:numFmt w:val="none"/>
      <w:suff w:val="nothing"/>
      <w:lvlText w:val=""/>
      <w:lvlJc w:val="start"/>
      <w:pPr>
        <w:tabs>
          <w:tab w:val="num" w:pos="0"/>
        </w:tabs>
        <w:ind w:start="864" w:hanging="864"/>
      </w:pPr>
    </w:lvl>
    <w:lvl w:ilvl="4">
      <w:start w:val="1"/>
      <w:numFmt w:val="none"/>
      <w:suff w:val="nothing"/>
      <w:lvlText w:val=""/>
      <w:lvlJc w:val="start"/>
      <w:pPr>
        <w:tabs>
          <w:tab w:val="num" w:pos="0"/>
        </w:tabs>
        <w:ind w:start="1008" w:hanging="1008"/>
      </w:pPr>
    </w:lvl>
    <w:lvl w:ilvl="5">
      <w:start w:val="1"/>
      <w:numFmt w:val="none"/>
      <w:suff w:val="nothing"/>
      <w:lvlText w:val=""/>
      <w:lvlJc w:val="start"/>
      <w:pPr>
        <w:tabs>
          <w:tab w:val="num" w:pos="0"/>
        </w:tabs>
        <w:ind w:start="1152" w:hanging="1152"/>
      </w:pPr>
    </w:lvl>
    <w:lvl w:ilvl="6">
      <w:start w:val="1"/>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 w:cs="Lucida Sans"/>
      <w:color w:val="auto"/>
      <w:kern w:val="2"/>
      <w:sz w:val="24"/>
      <w:szCs w:val="24"/>
      <w:lang w:val="de-DE" w:eastAsia="zh-CN" w:bidi="hi-IN"/>
    </w:rPr>
  </w:style>
  <w:style w:type="paragraph" w:styleId="Berschrift2">
    <w:name w:val="Heading 2"/>
    <w:basedOn w:val="Berschrift"/>
    <w:next w:val="Textkrper"/>
    <w:qFormat/>
    <w:pPr>
      <w:numPr>
        <w:ilvl w:val="1"/>
        <w:numId w:val="1"/>
      </w:numPr>
      <w:ind w:start="0" w:end="0" w:hanging="0"/>
      <w:outlineLvl w:val="1"/>
    </w:pPr>
    <w:rPr>
      <w:rFonts w:ascii="Times New Roman" w:hAnsi="Times New Roman" w:eastAsia="SimSun" w:cs="Lucida Sans"/>
      <w:b/>
      <w:bCs/>
      <w:sz w:val="36"/>
      <w:szCs w:val="36"/>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4z0">
    <w:name w:val="WW8Num4z0"/>
    <w:qFormat/>
    <w:rPr>
      <w:rFonts w:ascii="Symbol" w:hAnsi="Symbol" w:cs="OpenSymbol;Arial Unicode MS"/>
    </w:rPr>
  </w:style>
  <w:style w:type="character" w:styleId="WW8Num4z1">
    <w:name w:val="WW8Num4z1"/>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Internetverknpfung">
    <w:name w:val="Hyperlink"/>
    <w:rPr>
      <w:color w:val="000080"/>
      <w:u w:val="single"/>
      <w:lang w:val="zxx" w:eastAsia="zxx" w:bidi="zxx"/>
    </w:rPr>
  </w:style>
  <w:style w:type="character" w:styleId="Starkbetont">
    <w:name w:val="Strong"/>
    <w:qFormat/>
    <w:rPr>
      <w:b/>
      <w:bCs/>
    </w:rPr>
  </w:style>
  <w:style w:type="character" w:styleId="Aufzhlungszeichen">
    <w:name w:val="Aufzählungszeichen"/>
    <w:qFormat/>
    <w:rPr>
      <w:rFonts w:ascii="OpenSymbol;Arial Unicode MS" w:hAnsi="OpenSymbol;Arial Unicode MS" w:eastAsia="OpenSymbol;Arial Unicode MS" w:cs="OpenSymbol;Arial Unicode MS"/>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before="0" w:after="12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971</TotalTime>
  <Application>LibreOffice/7.4.5.1$Windows_X86_64 LibreOffice_project/9c0871452b3918c1019dde9bfac75448afc4b57f</Application>
  <AppVersion>15.0000</AppVersion>
  <Pages>2</Pages>
  <Words>293</Words>
  <Characters>1906</Characters>
  <CharactersWithSpaces>2217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2019-07-29T17:25:50Z</dcterms:created>
  <dc:creator>Ralf Wusterbarth</dc:creator>
  <dc:description/>
  <dc:language>de-DE</dc:language>
  <cp:lastModifiedBy>Ralf Wusterbarth</cp:lastModifiedBy>
  <dcterms:modified xsi:type="dcterms:W3CDTF">2019-10-13T18:27:47Z</dcterms:modified>
  <cp:revision>4</cp:revision>
  <dc:subject/>
  <dc:title/>
</cp:coreProperties>
</file>